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D1AAF" w14:textId="4454B02A" w:rsidR="00FB3A7F" w:rsidRPr="005F28C9" w:rsidRDefault="00760177" w:rsidP="00977FEA">
      <w:pPr>
        <w:numPr>
          <w:ilvl w:val="0"/>
          <w:numId w:val="2"/>
        </w:numPr>
        <w:tabs>
          <w:tab w:val="num" w:pos="360"/>
        </w:tabs>
        <w:spacing w:before="120"/>
        <w:ind w:left="360"/>
        <w:jc w:val="both"/>
        <w:rPr>
          <w:rFonts w:ascii="Arial" w:hAnsi="Arial" w:cs="Arial"/>
          <w:spacing w:val="-2"/>
          <w:sz w:val="22"/>
          <w:szCs w:val="22"/>
        </w:rPr>
      </w:pPr>
      <w:r w:rsidRPr="005F28C9">
        <w:rPr>
          <w:rFonts w:ascii="Arial" w:hAnsi="Arial" w:cs="Arial"/>
          <w:bCs/>
          <w:spacing w:val="-3"/>
          <w:sz w:val="22"/>
          <w:szCs w:val="22"/>
        </w:rPr>
        <w:t>The Special Taskforce on Domestic and Family Violence provided its report, ‘</w:t>
      </w:r>
      <w:r w:rsidRPr="005F28C9">
        <w:rPr>
          <w:rFonts w:ascii="Arial" w:hAnsi="Arial" w:cs="Arial"/>
          <w:bCs/>
          <w:i/>
          <w:spacing w:val="-3"/>
          <w:sz w:val="22"/>
          <w:szCs w:val="22"/>
        </w:rPr>
        <w:t>Not Now, Not Ever: Putting an End to Domestic and Family Violence in Queensland</w:t>
      </w:r>
      <w:r w:rsidR="00070070" w:rsidRPr="005F28C9">
        <w:rPr>
          <w:rFonts w:ascii="Arial" w:hAnsi="Arial" w:cs="Arial"/>
          <w:bCs/>
          <w:spacing w:val="-3"/>
          <w:sz w:val="22"/>
          <w:szCs w:val="22"/>
        </w:rPr>
        <w:t xml:space="preserve">’ </w:t>
      </w:r>
      <w:r w:rsidRPr="005F28C9">
        <w:rPr>
          <w:rFonts w:ascii="Arial" w:hAnsi="Arial" w:cs="Arial"/>
          <w:bCs/>
          <w:spacing w:val="-3"/>
          <w:sz w:val="22"/>
          <w:szCs w:val="22"/>
        </w:rPr>
        <w:t xml:space="preserve">to the Premier and Minister for the Arts in February 2015. </w:t>
      </w:r>
      <w:r w:rsidRPr="005F28C9">
        <w:rPr>
          <w:rFonts w:ascii="Arial" w:hAnsi="Arial" w:cs="Arial"/>
          <w:sz w:val="22"/>
          <w:szCs w:val="22"/>
        </w:rPr>
        <w:t xml:space="preserve">The Government accepted all 121 Government based recommendations, supported the 19 non-government recommendations, and developed a ten year Domestic and Family Violence Prevention Strategy to guide implementation and realise the vision of the Report. </w:t>
      </w:r>
    </w:p>
    <w:p w14:paraId="3DAE2C11" w14:textId="17444C75" w:rsidR="00D00218" w:rsidRPr="00350807" w:rsidRDefault="00FB3A7F" w:rsidP="00D00218">
      <w:pPr>
        <w:numPr>
          <w:ilvl w:val="0"/>
          <w:numId w:val="2"/>
        </w:numPr>
        <w:tabs>
          <w:tab w:val="num" w:pos="360"/>
        </w:tabs>
        <w:spacing w:before="240"/>
        <w:ind w:left="360"/>
        <w:jc w:val="both"/>
        <w:rPr>
          <w:rFonts w:ascii="Arial" w:hAnsi="Arial" w:cs="Arial"/>
          <w:spacing w:val="-2"/>
          <w:sz w:val="22"/>
        </w:rPr>
      </w:pPr>
      <w:r w:rsidRPr="005F28C9">
        <w:rPr>
          <w:rFonts w:ascii="Arial" w:hAnsi="Arial" w:cs="Arial"/>
          <w:sz w:val="22"/>
          <w:szCs w:val="22"/>
        </w:rPr>
        <w:t>As at</w:t>
      </w:r>
      <w:r w:rsidR="00CC1B64">
        <w:rPr>
          <w:rFonts w:ascii="Arial" w:hAnsi="Arial" w:cs="Arial"/>
          <w:sz w:val="22"/>
          <w:szCs w:val="22"/>
        </w:rPr>
        <w:t xml:space="preserve"> 30 September </w:t>
      </w:r>
      <w:r w:rsidR="006D65E2" w:rsidRPr="005F28C9">
        <w:rPr>
          <w:rFonts w:ascii="Arial" w:hAnsi="Arial" w:cs="Arial"/>
          <w:sz w:val="22"/>
          <w:szCs w:val="22"/>
        </w:rPr>
        <w:t>2019</w:t>
      </w:r>
      <w:r w:rsidRPr="005F28C9">
        <w:rPr>
          <w:rFonts w:ascii="Arial" w:hAnsi="Arial" w:cs="Arial"/>
          <w:sz w:val="22"/>
          <w:szCs w:val="22"/>
        </w:rPr>
        <w:t xml:space="preserve">, </w:t>
      </w:r>
      <w:r w:rsidR="00CC1B64">
        <w:rPr>
          <w:rFonts w:ascii="Arial" w:hAnsi="Arial" w:cs="Arial"/>
          <w:sz w:val="22"/>
          <w:szCs w:val="22"/>
        </w:rPr>
        <w:t xml:space="preserve">all </w:t>
      </w:r>
      <w:r w:rsidRPr="005F28C9">
        <w:rPr>
          <w:rFonts w:ascii="Arial" w:hAnsi="Arial" w:cs="Arial"/>
          <w:sz w:val="22"/>
          <w:szCs w:val="22"/>
        </w:rPr>
        <w:t xml:space="preserve">of the 121 </w:t>
      </w:r>
      <w:r w:rsidR="00B46916" w:rsidRPr="005F28C9">
        <w:rPr>
          <w:rFonts w:ascii="Arial" w:hAnsi="Arial" w:cs="Arial"/>
          <w:sz w:val="22"/>
          <w:szCs w:val="22"/>
        </w:rPr>
        <w:t xml:space="preserve">Government </w:t>
      </w:r>
      <w:r w:rsidR="00B46916">
        <w:rPr>
          <w:rFonts w:ascii="Arial" w:hAnsi="Arial" w:cs="Arial"/>
          <w:sz w:val="22"/>
          <w:szCs w:val="22"/>
        </w:rPr>
        <w:t xml:space="preserve">based </w:t>
      </w:r>
      <w:r w:rsidRPr="005F28C9">
        <w:rPr>
          <w:rFonts w:ascii="Arial" w:hAnsi="Arial" w:cs="Arial"/>
          <w:sz w:val="22"/>
          <w:szCs w:val="22"/>
        </w:rPr>
        <w:t>recommendations have been completed.</w:t>
      </w:r>
      <w:r w:rsidR="005F28C9" w:rsidRPr="005F28C9">
        <w:rPr>
          <w:rFonts w:ascii="Arial" w:hAnsi="Arial" w:cs="Arial"/>
          <w:sz w:val="22"/>
          <w:szCs w:val="22"/>
        </w:rPr>
        <w:t xml:space="preserve"> </w:t>
      </w:r>
      <w:r w:rsidR="00FC6DB0" w:rsidRPr="005F28C9">
        <w:rPr>
          <w:rFonts w:ascii="Arial" w:hAnsi="Arial" w:cs="Arial"/>
          <w:spacing w:val="-2"/>
          <w:sz w:val="22"/>
          <w:szCs w:val="22"/>
        </w:rPr>
        <w:t>The</w:t>
      </w:r>
      <w:r w:rsidR="00CC1B64" w:rsidRPr="00CC1B64">
        <w:t xml:space="preserve"> </w:t>
      </w:r>
      <w:r w:rsidR="00CC1B64" w:rsidRPr="00CC1B64">
        <w:rPr>
          <w:rFonts w:ascii="Arial" w:hAnsi="Arial" w:cs="Arial"/>
          <w:i/>
          <w:spacing w:val="-2"/>
          <w:sz w:val="22"/>
          <w:szCs w:val="22"/>
        </w:rPr>
        <w:t>Recommendations Delivered</w:t>
      </w:r>
      <w:r w:rsidR="00CC1B64" w:rsidRPr="00CC1B64">
        <w:rPr>
          <w:rFonts w:ascii="Arial" w:hAnsi="Arial" w:cs="Arial"/>
          <w:spacing w:val="-2"/>
          <w:sz w:val="22"/>
          <w:szCs w:val="22"/>
        </w:rPr>
        <w:t xml:space="preserve"> report provides a summary of activities delivered to address the recommendations from the </w:t>
      </w:r>
      <w:r w:rsidR="00CC1B64" w:rsidRPr="00D00218">
        <w:rPr>
          <w:rFonts w:ascii="Arial" w:hAnsi="Arial" w:cs="Arial"/>
          <w:i/>
          <w:spacing w:val="-2"/>
          <w:sz w:val="22"/>
          <w:szCs w:val="22"/>
        </w:rPr>
        <w:t>Not Now, Not Ever</w:t>
      </w:r>
      <w:r w:rsidR="00CC1B64" w:rsidRPr="00CC1B64">
        <w:rPr>
          <w:rFonts w:ascii="Arial" w:hAnsi="Arial" w:cs="Arial"/>
          <w:spacing w:val="-2"/>
          <w:sz w:val="22"/>
          <w:szCs w:val="22"/>
        </w:rPr>
        <w:t xml:space="preserve"> Report</w:t>
      </w:r>
      <w:r w:rsidR="00CC1B64">
        <w:rPr>
          <w:rFonts w:ascii="Arial" w:hAnsi="Arial" w:cs="Arial"/>
          <w:spacing w:val="-2"/>
          <w:sz w:val="22"/>
          <w:szCs w:val="22"/>
        </w:rPr>
        <w:t>.</w:t>
      </w:r>
      <w:r w:rsidR="00FC6DB0" w:rsidRPr="005F28C9">
        <w:rPr>
          <w:rFonts w:ascii="Arial" w:hAnsi="Arial" w:cs="Arial"/>
          <w:spacing w:val="-2"/>
          <w:sz w:val="22"/>
          <w:szCs w:val="22"/>
        </w:rPr>
        <w:t xml:space="preserve"> </w:t>
      </w:r>
    </w:p>
    <w:p w14:paraId="50193FCB" w14:textId="4BC4C4FE" w:rsidR="00744501" w:rsidRPr="00CF5FD8" w:rsidRDefault="00CF5FD8" w:rsidP="00D00218">
      <w:pPr>
        <w:pStyle w:val="ListParagraph"/>
        <w:numPr>
          <w:ilvl w:val="0"/>
          <w:numId w:val="2"/>
        </w:numPr>
        <w:tabs>
          <w:tab w:val="num" w:pos="360"/>
        </w:tabs>
        <w:spacing w:before="240"/>
        <w:ind w:left="360"/>
        <w:jc w:val="both"/>
        <w:rPr>
          <w:rFonts w:ascii="Arial" w:hAnsi="Arial" w:cs="Arial"/>
          <w:spacing w:val="-2"/>
          <w:sz w:val="22"/>
        </w:rPr>
      </w:pPr>
      <w:r w:rsidRPr="00CF5FD8">
        <w:rPr>
          <w:rFonts w:ascii="Arial" w:hAnsi="Arial" w:cs="Arial"/>
          <w:spacing w:val="-2"/>
          <w:sz w:val="22"/>
          <w:lang w:val="en-AU"/>
        </w:rPr>
        <w:t>The 2019 Queensland Social Survey was conducted in May 2019 and measured Queenslanders’ attitudes towards domestic and family violence. Results reveal most Queenslanders continue to feel safe from domestic and family violence, and fewer than one in five report being aware of domestic and family violence involving a family member or close friend. The majority of Queenslanders continue to recognise domestic and family violence behaviours and consider these behaviours to be serious.</w:t>
      </w:r>
    </w:p>
    <w:p w14:paraId="56C631AB" w14:textId="3D0D2050" w:rsidR="00CF5FD8" w:rsidRDefault="00CF5FD8" w:rsidP="00CF5FD8">
      <w:pPr>
        <w:pStyle w:val="ListParagraph"/>
        <w:numPr>
          <w:ilvl w:val="0"/>
          <w:numId w:val="2"/>
        </w:numPr>
        <w:tabs>
          <w:tab w:val="num" w:pos="360"/>
        </w:tabs>
        <w:spacing w:before="240"/>
        <w:ind w:left="357" w:hanging="357"/>
        <w:contextualSpacing w:val="0"/>
        <w:jc w:val="both"/>
        <w:rPr>
          <w:rFonts w:ascii="Arial" w:hAnsi="Arial" w:cs="Arial"/>
          <w:spacing w:val="-2"/>
          <w:sz w:val="22"/>
        </w:rPr>
      </w:pPr>
      <w:r w:rsidRPr="00CF5FD8">
        <w:rPr>
          <w:rFonts w:ascii="Arial" w:hAnsi="Arial" w:cs="Arial"/>
          <w:spacing w:val="-2"/>
          <w:sz w:val="22"/>
        </w:rPr>
        <w:t>The Year 4 Highlights Report Card reports an increasing number of Queensland workplaces and workforce participating in domestic and family violence prevention initiatives. Demand for services continues to grow among victim survivors and service providers believe more can be done to ensure existing support translates into improved feelings of safety for victim survivors.</w:t>
      </w:r>
    </w:p>
    <w:p w14:paraId="7F3F8ACE" w14:textId="1ACF8FAF" w:rsidR="00CF5FD8" w:rsidRPr="00350807" w:rsidRDefault="00CF5FD8" w:rsidP="00CF5FD8">
      <w:pPr>
        <w:pStyle w:val="ListParagraph"/>
        <w:numPr>
          <w:ilvl w:val="0"/>
          <w:numId w:val="2"/>
        </w:numPr>
        <w:tabs>
          <w:tab w:val="num" w:pos="360"/>
        </w:tabs>
        <w:spacing w:before="240"/>
        <w:ind w:left="357" w:hanging="357"/>
        <w:contextualSpacing w:val="0"/>
        <w:jc w:val="both"/>
        <w:rPr>
          <w:rFonts w:ascii="Arial" w:hAnsi="Arial" w:cs="Arial"/>
          <w:spacing w:val="-2"/>
          <w:sz w:val="22"/>
        </w:rPr>
      </w:pPr>
      <w:r w:rsidRPr="00CF5FD8">
        <w:rPr>
          <w:rFonts w:ascii="Arial" w:hAnsi="Arial" w:cs="Arial"/>
          <w:spacing w:val="-2"/>
          <w:sz w:val="22"/>
        </w:rPr>
        <w:t>The revised Indicator Matrix includes amendments to existing indicators and the introduction of new indicators to strengthen the scope and quality of data collected. The revised Indicator Matrix also identifies opportunities to improve understanding of victim survivor experiences of the domestic and family violence reforms.</w:t>
      </w:r>
    </w:p>
    <w:p w14:paraId="600D1AB2" w14:textId="0A67FA3B" w:rsidR="00034106" w:rsidRPr="00350807" w:rsidRDefault="00034106" w:rsidP="00D00218">
      <w:pPr>
        <w:numPr>
          <w:ilvl w:val="0"/>
          <w:numId w:val="2"/>
        </w:numPr>
        <w:tabs>
          <w:tab w:val="num" w:pos="360"/>
        </w:tabs>
        <w:spacing w:before="240"/>
        <w:ind w:left="360"/>
        <w:jc w:val="both"/>
        <w:rPr>
          <w:rFonts w:ascii="Arial" w:hAnsi="Arial" w:cs="Arial"/>
          <w:bCs/>
          <w:spacing w:val="-3"/>
          <w:sz w:val="22"/>
          <w:szCs w:val="22"/>
        </w:rPr>
      </w:pPr>
      <w:r w:rsidRPr="00350807">
        <w:rPr>
          <w:rFonts w:ascii="Arial" w:hAnsi="Arial" w:cs="Arial"/>
          <w:sz w:val="22"/>
          <w:szCs w:val="22"/>
          <w:u w:val="single"/>
        </w:rPr>
        <w:t xml:space="preserve">Cabinet </w:t>
      </w:r>
      <w:r w:rsidR="00D00218">
        <w:rPr>
          <w:rFonts w:ascii="Arial" w:hAnsi="Arial" w:cs="Arial"/>
          <w:sz w:val="22"/>
          <w:szCs w:val="22"/>
          <w:u w:val="single"/>
        </w:rPr>
        <w:t>approved</w:t>
      </w:r>
      <w:r w:rsidRPr="00350807">
        <w:rPr>
          <w:rFonts w:ascii="Arial" w:hAnsi="Arial" w:cs="Arial"/>
          <w:sz w:val="22"/>
          <w:szCs w:val="22"/>
        </w:rPr>
        <w:t xml:space="preserve"> </w:t>
      </w:r>
      <w:r w:rsidR="00D00218">
        <w:rPr>
          <w:rFonts w:ascii="Arial" w:hAnsi="Arial" w:cs="Arial"/>
          <w:sz w:val="22"/>
          <w:szCs w:val="22"/>
        </w:rPr>
        <w:t xml:space="preserve">the </w:t>
      </w:r>
      <w:r w:rsidR="00760177" w:rsidRPr="00350807">
        <w:rPr>
          <w:rFonts w:ascii="Arial" w:hAnsi="Arial" w:cs="Arial"/>
          <w:sz w:val="22"/>
          <w:szCs w:val="22"/>
        </w:rPr>
        <w:t xml:space="preserve">progress </w:t>
      </w:r>
      <w:r w:rsidR="00D00218">
        <w:rPr>
          <w:rFonts w:ascii="Arial" w:hAnsi="Arial" w:cs="Arial"/>
          <w:sz w:val="22"/>
          <w:szCs w:val="22"/>
        </w:rPr>
        <w:t xml:space="preserve">report </w:t>
      </w:r>
      <w:r w:rsidR="00760177" w:rsidRPr="00350807">
        <w:rPr>
          <w:rFonts w:ascii="Arial" w:hAnsi="Arial" w:cs="Arial"/>
          <w:sz w:val="22"/>
          <w:szCs w:val="22"/>
        </w:rPr>
        <w:t xml:space="preserve">on implementation of the Government response to the report of the Special Taskforce on Domestic and Family Violence, </w:t>
      </w:r>
      <w:r w:rsidR="00760177" w:rsidRPr="00A2660B">
        <w:rPr>
          <w:rFonts w:ascii="Arial" w:hAnsi="Arial" w:cs="Arial"/>
          <w:i/>
          <w:sz w:val="22"/>
          <w:szCs w:val="22"/>
        </w:rPr>
        <w:t xml:space="preserve">Not Now, Not Ever: </w:t>
      </w:r>
      <w:r w:rsidR="00760177" w:rsidRPr="00A2660B">
        <w:rPr>
          <w:rFonts w:ascii="Arial" w:hAnsi="Arial" w:cs="Arial"/>
          <w:i/>
          <w:spacing w:val="-2"/>
          <w:sz w:val="22"/>
          <w:szCs w:val="22"/>
        </w:rPr>
        <w:t>Putting</w:t>
      </w:r>
      <w:r w:rsidR="00760177" w:rsidRPr="00A2660B">
        <w:rPr>
          <w:rFonts w:ascii="Arial" w:hAnsi="Arial" w:cs="Arial"/>
          <w:i/>
          <w:sz w:val="22"/>
          <w:szCs w:val="22"/>
        </w:rPr>
        <w:t xml:space="preserve"> an End to Domestic and Family Violence in Queensland</w:t>
      </w:r>
      <w:r w:rsidRPr="00350807">
        <w:rPr>
          <w:rFonts w:ascii="Arial" w:hAnsi="Arial" w:cs="Arial"/>
          <w:sz w:val="22"/>
          <w:szCs w:val="22"/>
        </w:rPr>
        <w:t>.</w:t>
      </w:r>
    </w:p>
    <w:p w14:paraId="600D1AB3" w14:textId="0D40B3D1" w:rsidR="00034106" w:rsidRPr="00350807" w:rsidRDefault="00034106" w:rsidP="00D00218">
      <w:pPr>
        <w:numPr>
          <w:ilvl w:val="0"/>
          <w:numId w:val="2"/>
        </w:numPr>
        <w:tabs>
          <w:tab w:val="num" w:pos="360"/>
        </w:tabs>
        <w:spacing w:before="240"/>
        <w:ind w:left="360"/>
        <w:jc w:val="both"/>
        <w:rPr>
          <w:rFonts w:ascii="Arial" w:hAnsi="Arial" w:cs="Arial"/>
          <w:bCs/>
          <w:spacing w:val="-3"/>
          <w:sz w:val="22"/>
          <w:szCs w:val="22"/>
        </w:rPr>
      </w:pPr>
      <w:r w:rsidRPr="00350807">
        <w:rPr>
          <w:rFonts w:ascii="Arial" w:hAnsi="Arial" w:cs="Arial"/>
          <w:sz w:val="22"/>
          <w:szCs w:val="22"/>
          <w:u w:val="single"/>
        </w:rPr>
        <w:t xml:space="preserve">Cabinet </w:t>
      </w:r>
      <w:r w:rsidR="00D00218">
        <w:rPr>
          <w:rFonts w:ascii="Arial" w:hAnsi="Arial" w:cs="Arial"/>
          <w:sz w:val="22"/>
          <w:szCs w:val="22"/>
          <w:u w:val="single"/>
        </w:rPr>
        <w:t>approved</w:t>
      </w:r>
      <w:r w:rsidRPr="00350807">
        <w:rPr>
          <w:rFonts w:ascii="Arial" w:hAnsi="Arial" w:cs="Arial"/>
          <w:sz w:val="22"/>
          <w:szCs w:val="22"/>
        </w:rPr>
        <w:t xml:space="preserve"> </w:t>
      </w:r>
      <w:r w:rsidR="00D00218">
        <w:rPr>
          <w:rFonts w:ascii="Arial" w:hAnsi="Arial" w:cs="Arial"/>
          <w:sz w:val="22"/>
          <w:szCs w:val="22"/>
        </w:rPr>
        <w:t xml:space="preserve">public release of the </w:t>
      </w:r>
      <w:r w:rsidR="00D00218" w:rsidRPr="00CC1B64">
        <w:rPr>
          <w:rFonts w:ascii="Arial" w:hAnsi="Arial" w:cs="Arial"/>
          <w:i/>
          <w:spacing w:val="-2"/>
          <w:sz w:val="22"/>
          <w:szCs w:val="22"/>
        </w:rPr>
        <w:t>Recommendations Delivered</w:t>
      </w:r>
      <w:r w:rsidR="00D00218" w:rsidRPr="00CC1B64">
        <w:rPr>
          <w:rFonts w:ascii="Arial" w:hAnsi="Arial" w:cs="Arial"/>
          <w:spacing w:val="-2"/>
          <w:sz w:val="22"/>
          <w:szCs w:val="22"/>
        </w:rPr>
        <w:t xml:space="preserve"> report</w:t>
      </w:r>
      <w:r w:rsidRPr="00350807">
        <w:rPr>
          <w:rFonts w:ascii="Arial" w:hAnsi="Arial" w:cs="Arial"/>
          <w:sz w:val="22"/>
          <w:szCs w:val="22"/>
        </w:rPr>
        <w:t>.</w:t>
      </w:r>
    </w:p>
    <w:p w14:paraId="4BE560DC" w14:textId="0ABB780D" w:rsidR="00350807" w:rsidRPr="00D00218" w:rsidRDefault="00350807" w:rsidP="00D00218">
      <w:pPr>
        <w:numPr>
          <w:ilvl w:val="0"/>
          <w:numId w:val="2"/>
        </w:numPr>
        <w:tabs>
          <w:tab w:val="num" w:pos="360"/>
        </w:tabs>
        <w:spacing w:before="240"/>
        <w:ind w:left="360"/>
        <w:jc w:val="both"/>
        <w:rPr>
          <w:rFonts w:ascii="Arial" w:hAnsi="Arial" w:cs="Arial"/>
          <w:bCs/>
          <w:spacing w:val="-3"/>
          <w:sz w:val="22"/>
          <w:szCs w:val="22"/>
        </w:rPr>
      </w:pPr>
      <w:r>
        <w:rPr>
          <w:rFonts w:ascii="Arial" w:hAnsi="Arial" w:cs="Arial"/>
          <w:sz w:val="22"/>
          <w:szCs w:val="22"/>
          <w:u w:val="single"/>
        </w:rPr>
        <w:t>Cabinet approved</w:t>
      </w:r>
      <w:r>
        <w:rPr>
          <w:rFonts w:ascii="Arial" w:hAnsi="Arial" w:cs="Arial"/>
          <w:sz w:val="22"/>
          <w:szCs w:val="22"/>
        </w:rPr>
        <w:t xml:space="preserve"> </w:t>
      </w:r>
      <w:r w:rsidRPr="00350807">
        <w:rPr>
          <w:rFonts w:ascii="Arial" w:hAnsi="Arial" w:cs="Arial"/>
          <w:sz w:val="22"/>
          <w:szCs w:val="22"/>
        </w:rPr>
        <w:t xml:space="preserve">public release of the </w:t>
      </w:r>
      <w:r w:rsidR="00D00218" w:rsidRPr="00D00218">
        <w:rPr>
          <w:rFonts w:ascii="Arial" w:hAnsi="Arial" w:cs="Arial"/>
          <w:sz w:val="22"/>
          <w:szCs w:val="22"/>
        </w:rPr>
        <w:t>Queensland Social Survey 2019 (Domestic and Family Violence Report)</w:t>
      </w:r>
      <w:r>
        <w:rPr>
          <w:rFonts w:ascii="Arial" w:hAnsi="Arial" w:cs="Arial"/>
          <w:sz w:val="22"/>
          <w:szCs w:val="22"/>
        </w:rPr>
        <w:t>.</w:t>
      </w:r>
    </w:p>
    <w:p w14:paraId="54F935F5" w14:textId="148C9CD3" w:rsidR="00D00218" w:rsidRPr="00B90A9D" w:rsidRDefault="00D00218" w:rsidP="00D00218">
      <w:pPr>
        <w:numPr>
          <w:ilvl w:val="0"/>
          <w:numId w:val="2"/>
        </w:numPr>
        <w:tabs>
          <w:tab w:val="num" w:pos="360"/>
        </w:tabs>
        <w:spacing w:before="240"/>
        <w:ind w:left="360"/>
        <w:jc w:val="both"/>
        <w:rPr>
          <w:rFonts w:ascii="Arial" w:hAnsi="Arial" w:cs="Arial"/>
          <w:bCs/>
          <w:spacing w:val="-3"/>
          <w:sz w:val="22"/>
          <w:szCs w:val="22"/>
        </w:rPr>
      </w:pPr>
      <w:r>
        <w:rPr>
          <w:rFonts w:ascii="Arial" w:hAnsi="Arial" w:cs="Arial"/>
          <w:sz w:val="22"/>
          <w:szCs w:val="22"/>
          <w:u w:val="single"/>
        </w:rPr>
        <w:t>Cabinet approved</w:t>
      </w:r>
      <w:r>
        <w:rPr>
          <w:rFonts w:ascii="Arial" w:hAnsi="Arial" w:cs="Arial"/>
          <w:sz w:val="22"/>
          <w:szCs w:val="22"/>
        </w:rPr>
        <w:t xml:space="preserve"> </w:t>
      </w:r>
      <w:r w:rsidRPr="00D00218">
        <w:rPr>
          <w:rFonts w:ascii="Arial" w:hAnsi="Arial" w:cs="Arial"/>
          <w:sz w:val="22"/>
          <w:szCs w:val="22"/>
        </w:rPr>
        <w:t xml:space="preserve">public release of the Year 4 Highlights </w:t>
      </w:r>
      <w:r w:rsidR="00CF5FD8">
        <w:rPr>
          <w:rFonts w:ascii="Arial" w:hAnsi="Arial" w:cs="Arial"/>
          <w:sz w:val="22"/>
          <w:szCs w:val="22"/>
        </w:rPr>
        <w:t xml:space="preserve">Report </w:t>
      </w:r>
      <w:r w:rsidRPr="00D00218">
        <w:rPr>
          <w:rFonts w:ascii="Arial" w:hAnsi="Arial" w:cs="Arial"/>
          <w:sz w:val="22"/>
          <w:szCs w:val="22"/>
        </w:rPr>
        <w:t>Card</w:t>
      </w:r>
      <w:r>
        <w:rPr>
          <w:rFonts w:ascii="Arial" w:hAnsi="Arial" w:cs="Arial"/>
          <w:sz w:val="22"/>
          <w:szCs w:val="22"/>
        </w:rPr>
        <w:t>.</w:t>
      </w:r>
    </w:p>
    <w:p w14:paraId="72B12D60" w14:textId="4AC29DC3" w:rsidR="00350807" w:rsidRPr="00393FF9" w:rsidRDefault="00B90A9D" w:rsidP="00D00218">
      <w:pPr>
        <w:numPr>
          <w:ilvl w:val="0"/>
          <w:numId w:val="2"/>
        </w:numPr>
        <w:tabs>
          <w:tab w:val="num" w:pos="360"/>
        </w:tabs>
        <w:spacing w:before="240"/>
        <w:ind w:left="360"/>
        <w:jc w:val="both"/>
        <w:rPr>
          <w:rFonts w:ascii="Arial" w:hAnsi="Arial" w:cs="Arial"/>
          <w:b/>
          <w:bCs/>
          <w:spacing w:val="-3"/>
          <w:sz w:val="22"/>
          <w:szCs w:val="22"/>
        </w:rPr>
      </w:pPr>
      <w:r w:rsidRPr="00B90A9D">
        <w:rPr>
          <w:rFonts w:ascii="Arial" w:hAnsi="Arial" w:cs="Arial"/>
          <w:sz w:val="22"/>
          <w:szCs w:val="22"/>
          <w:u w:val="single"/>
        </w:rPr>
        <w:t>Cabinet approved</w:t>
      </w:r>
      <w:r w:rsidRPr="00B90A9D">
        <w:rPr>
          <w:rFonts w:ascii="Arial" w:hAnsi="Arial" w:cs="Arial"/>
          <w:sz w:val="22"/>
          <w:szCs w:val="22"/>
        </w:rPr>
        <w:t xml:space="preserve"> </w:t>
      </w:r>
      <w:r w:rsidR="00D00218" w:rsidRPr="00D00218">
        <w:rPr>
          <w:rFonts w:ascii="Arial" w:hAnsi="Arial" w:cs="Arial"/>
          <w:sz w:val="22"/>
          <w:szCs w:val="22"/>
        </w:rPr>
        <w:t>the revised Indicator Matrix and its public release</w:t>
      </w:r>
      <w:r w:rsidR="00393FF9">
        <w:rPr>
          <w:rFonts w:ascii="Arial" w:hAnsi="Arial" w:cs="Arial"/>
          <w:sz w:val="22"/>
          <w:szCs w:val="22"/>
        </w:rPr>
        <w:t>.</w:t>
      </w:r>
    </w:p>
    <w:p w14:paraId="017101CF" w14:textId="1F6A72D4" w:rsidR="00FC6DB0" w:rsidRPr="00350807" w:rsidRDefault="00FC6DB0" w:rsidP="00D00218">
      <w:pPr>
        <w:numPr>
          <w:ilvl w:val="0"/>
          <w:numId w:val="2"/>
        </w:numPr>
        <w:tabs>
          <w:tab w:val="num" w:pos="360"/>
        </w:tabs>
        <w:spacing w:before="360"/>
        <w:ind w:left="360"/>
        <w:jc w:val="both"/>
        <w:rPr>
          <w:rFonts w:ascii="Arial" w:hAnsi="Arial" w:cs="Arial"/>
          <w:bCs/>
          <w:spacing w:val="-3"/>
          <w:sz w:val="22"/>
          <w:szCs w:val="22"/>
          <w:u w:val="single"/>
        </w:rPr>
      </w:pPr>
      <w:r w:rsidRPr="00350807">
        <w:rPr>
          <w:rFonts w:ascii="Arial" w:hAnsi="Arial" w:cs="Arial"/>
          <w:i/>
          <w:sz w:val="22"/>
          <w:szCs w:val="22"/>
          <w:u w:val="single"/>
        </w:rPr>
        <w:t>Attachments</w:t>
      </w:r>
    </w:p>
    <w:p w14:paraId="453839FB" w14:textId="56082790" w:rsidR="00D00218" w:rsidRPr="00D00218" w:rsidRDefault="00B67A7B" w:rsidP="00F50005">
      <w:pPr>
        <w:pStyle w:val="ListParagraph"/>
        <w:numPr>
          <w:ilvl w:val="0"/>
          <w:numId w:val="6"/>
        </w:numPr>
        <w:spacing w:before="120"/>
        <w:ind w:left="714" w:hanging="357"/>
        <w:contextualSpacing w:val="0"/>
        <w:jc w:val="both"/>
        <w:rPr>
          <w:rFonts w:ascii="Arial" w:hAnsi="Arial" w:cs="Arial"/>
          <w:bCs/>
          <w:spacing w:val="-3"/>
          <w:sz w:val="22"/>
        </w:rPr>
      </w:pPr>
      <w:hyperlink r:id="rId10" w:history="1">
        <w:r w:rsidR="00D00218" w:rsidRPr="005D3D3B">
          <w:rPr>
            <w:rStyle w:val="Hyperlink"/>
            <w:rFonts w:ascii="Arial" w:hAnsi="Arial" w:cs="Arial"/>
            <w:i/>
            <w:spacing w:val="-2"/>
            <w:sz w:val="22"/>
          </w:rPr>
          <w:t>Recommendations Delivered</w:t>
        </w:r>
        <w:r w:rsidR="00D00218" w:rsidRPr="005D3D3B">
          <w:rPr>
            <w:rStyle w:val="Hyperlink"/>
            <w:rFonts w:ascii="Arial" w:hAnsi="Arial" w:cs="Arial"/>
            <w:spacing w:val="-2"/>
            <w:sz w:val="22"/>
          </w:rPr>
          <w:t xml:space="preserve"> report</w:t>
        </w:r>
      </w:hyperlink>
      <w:r w:rsidR="00D00218" w:rsidRPr="00A2660B">
        <w:rPr>
          <w:rFonts w:ascii="Arial" w:hAnsi="Arial" w:cs="Arial"/>
          <w:i/>
          <w:spacing w:val="-2"/>
          <w:sz w:val="22"/>
        </w:rPr>
        <w:t xml:space="preserve"> </w:t>
      </w:r>
    </w:p>
    <w:p w14:paraId="4D263BAC" w14:textId="2696C76F" w:rsidR="00D00218" w:rsidRPr="00D00218" w:rsidRDefault="00B67A7B" w:rsidP="00F50005">
      <w:pPr>
        <w:pStyle w:val="ListParagraph"/>
        <w:numPr>
          <w:ilvl w:val="0"/>
          <w:numId w:val="6"/>
        </w:numPr>
        <w:spacing w:before="120"/>
        <w:ind w:left="714" w:hanging="357"/>
        <w:contextualSpacing w:val="0"/>
        <w:jc w:val="both"/>
        <w:rPr>
          <w:rFonts w:ascii="Arial" w:hAnsi="Arial" w:cs="Arial"/>
          <w:bCs/>
          <w:spacing w:val="-3"/>
          <w:sz w:val="22"/>
        </w:rPr>
      </w:pPr>
      <w:hyperlink r:id="rId11" w:history="1">
        <w:r w:rsidR="00D00218" w:rsidRPr="005D3D3B">
          <w:rPr>
            <w:rStyle w:val="Hyperlink"/>
            <w:rFonts w:ascii="Arial" w:hAnsi="Arial" w:cs="Arial"/>
            <w:sz w:val="22"/>
          </w:rPr>
          <w:t>Queensland Social Survey 2019 (Domestic and Family Violence Report)</w:t>
        </w:r>
      </w:hyperlink>
    </w:p>
    <w:p w14:paraId="2DFD41EF" w14:textId="02C14EFF" w:rsidR="00D00218" w:rsidRPr="00D00218" w:rsidRDefault="00B67A7B" w:rsidP="00F50005">
      <w:pPr>
        <w:pStyle w:val="ListParagraph"/>
        <w:numPr>
          <w:ilvl w:val="0"/>
          <w:numId w:val="6"/>
        </w:numPr>
        <w:spacing w:before="120"/>
        <w:ind w:left="714" w:hanging="357"/>
        <w:contextualSpacing w:val="0"/>
        <w:jc w:val="both"/>
        <w:rPr>
          <w:rFonts w:ascii="Arial" w:hAnsi="Arial" w:cs="Arial"/>
          <w:bCs/>
          <w:spacing w:val="-3"/>
          <w:sz w:val="22"/>
        </w:rPr>
      </w:pPr>
      <w:hyperlink r:id="rId12" w:history="1">
        <w:r w:rsidR="00D00218" w:rsidRPr="005D3D3B">
          <w:rPr>
            <w:rStyle w:val="Hyperlink"/>
            <w:rFonts w:ascii="Arial" w:hAnsi="Arial" w:cs="Arial"/>
            <w:sz w:val="22"/>
          </w:rPr>
          <w:t xml:space="preserve">Year 4 Highlights </w:t>
        </w:r>
        <w:r w:rsidR="00CF5FD8" w:rsidRPr="005D3D3B">
          <w:rPr>
            <w:rStyle w:val="Hyperlink"/>
            <w:rFonts w:ascii="Arial" w:hAnsi="Arial" w:cs="Arial"/>
            <w:sz w:val="22"/>
          </w:rPr>
          <w:t xml:space="preserve">Report </w:t>
        </w:r>
        <w:r w:rsidR="00D00218" w:rsidRPr="005D3D3B">
          <w:rPr>
            <w:rStyle w:val="Hyperlink"/>
            <w:rFonts w:ascii="Arial" w:hAnsi="Arial" w:cs="Arial"/>
            <w:sz w:val="22"/>
          </w:rPr>
          <w:t>Card</w:t>
        </w:r>
      </w:hyperlink>
    </w:p>
    <w:p w14:paraId="508CED34" w14:textId="07C37E7E" w:rsidR="00D00218" w:rsidRPr="00D00218" w:rsidRDefault="00B67A7B" w:rsidP="00F50005">
      <w:pPr>
        <w:pStyle w:val="ListParagraph"/>
        <w:numPr>
          <w:ilvl w:val="0"/>
          <w:numId w:val="6"/>
        </w:numPr>
        <w:spacing w:before="120"/>
        <w:ind w:left="714" w:hanging="357"/>
        <w:contextualSpacing w:val="0"/>
        <w:jc w:val="both"/>
        <w:rPr>
          <w:rFonts w:ascii="Arial" w:hAnsi="Arial" w:cs="Arial"/>
          <w:bCs/>
          <w:spacing w:val="-3"/>
          <w:sz w:val="22"/>
        </w:rPr>
      </w:pPr>
      <w:hyperlink r:id="rId13" w:history="1">
        <w:r w:rsidR="00D00218" w:rsidRPr="005D3D3B">
          <w:rPr>
            <w:rStyle w:val="Hyperlink"/>
            <w:rFonts w:ascii="Arial" w:hAnsi="Arial" w:cs="Arial"/>
            <w:sz w:val="22"/>
          </w:rPr>
          <w:t>Revised Indicator Matrix</w:t>
        </w:r>
      </w:hyperlink>
    </w:p>
    <w:sectPr w:rsidR="00D00218" w:rsidRPr="00D00218" w:rsidSect="00F50005">
      <w:headerReference w:type="default" r:id="rId14"/>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66246D" w14:textId="77777777" w:rsidR="0018089A" w:rsidRDefault="0018089A" w:rsidP="00034106">
      <w:r>
        <w:separator/>
      </w:r>
    </w:p>
  </w:endnote>
  <w:endnote w:type="continuationSeparator" w:id="0">
    <w:p w14:paraId="1DFF0B49" w14:textId="77777777" w:rsidR="0018089A" w:rsidRDefault="0018089A" w:rsidP="00034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AD4364" w14:textId="77777777" w:rsidR="0018089A" w:rsidRDefault="0018089A" w:rsidP="00034106">
      <w:r>
        <w:separator/>
      </w:r>
    </w:p>
  </w:footnote>
  <w:footnote w:type="continuationSeparator" w:id="0">
    <w:p w14:paraId="23663CF1" w14:textId="77777777" w:rsidR="0018089A" w:rsidRDefault="0018089A" w:rsidP="00034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D1ABB" w14:textId="77777777" w:rsidR="00B27318" w:rsidRPr="00937A4A" w:rsidRDefault="00B27318" w:rsidP="00B27318">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600D1ABC" w14:textId="77777777" w:rsidR="00B27318" w:rsidRPr="00937A4A" w:rsidRDefault="00B27318" w:rsidP="00B27318">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600D1ABD" w14:textId="6DB25AAC" w:rsidR="00B27318" w:rsidRPr="00937A4A" w:rsidRDefault="00B27318" w:rsidP="00B27318">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D456B6">
      <w:rPr>
        <w:rFonts w:ascii="Arial" w:hAnsi="Arial" w:cs="Arial"/>
        <w:b/>
        <w:color w:val="auto"/>
        <w:sz w:val="22"/>
        <w:szCs w:val="22"/>
        <w:lang w:eastAsia="en-US"/>
      </w:rPr>
      <w:t>October</w:t>
    </w:r>
    <w:r w:rsidR="003C418C">
      <w:rPr>
        <w:rFonts w:ascii="Arial" w:hAnsi="Arial" w:cs="Arial"/>
        <w:b/>
        <w:color w:val="auto"/>
        <w:sz w:val="22"/>
        <w:szCs w:val="22"/>
        <w:lang w:eastAsia="en-US"/>
      </w:rPr>
      <w:t xml:space="preserve"> 2019</w:t>
    </w:r>
  </w:p>
  <w:p w14:paraId="600D1ABE" w14:textId="2D4E889A" w:rsidR="00B27318" w:rsidRDefault="00760177" w:rsidP="00B27318">
    <w:pPr>
      <w:pStyle w:val="Header"/>
      <w:spacing w:before="120"/>
      <w:rPr>
        <w:rFonts w:ascii="Arial" w:hAnsi="Arial" w:cs="Arial"/>
        <w:b/>
        <w:sz w:val="22"/>
        <w:szCs w:val="22"/>
        <w:u w:val="single"/>
      </w:rPr>
    </w:pPr>
    <w:r w:rsidRPr="00760177">
      <w:rPr>
        <w:rFonts w:ascii="Arial" w:hAnsi="Arial" w:cs="Arial"/>
        <w:b/>
        <w:sz w:val="22"/>
        <w:szCs w:val="22"/>
        <w:u w:val="single"/>
      </w:rPr>
      <w:t>Implementation progress</w:t>
    </w:r>
    <w:r>
      <w:rPr>
        <w:rFonts w:ascii="Arial" w:hAnsi="Arial" w:cs="Arial"/>
        <w:b/>
        <w:sz w:val="22"/>
        <w:szCs w:val="22"/>
        <w:u w:val="single"/>
      </w:rPr>
      <w:t xml:space="preserve"> </w:t>
    </w:r>
    <w:r w:rsidRPr="00760177">
      <w:rPr>
        <w:rFonts w:ascii="Arial" w:hAnsi="Arial" w:cs="Arial"/>
        <w:b/>
        <w:sz w:val="22"/>
        <w:szCs w:val="22"/>
        <w:u w:val="single"/>
      </w:rPr>
      <w:t xml:space="preserve">– Government response to the ‘Not Now, Not Ever’ report – </w:t>
    </w:r>
    <w:r w:rsidR="00CC1B64">
      <w:rPr>
        <w:rFonts w:ascii="Arial" w:hAnsi="Arial" w:cs="Arial"/>
        <w:b/>
        <w:sz w:val="22"/>
        <w:szCs w:val="22"/>
        <w:u w:val="single"/>
      </w:rPr>
      <w:t>September</w:t>
    </w:r>
    <w:r w:rsidR="003C418C">
      <w:rPr>
        <w:rFonts w:ascii="Arial" w:hAnsi="Arial" w:cs="Arial"/>
        <w:b/>
        <w:sz w:val="22"/>
        <w:szCs w:val="22"/>
        <w:u w:val="single"/>
      </w:rPr>
      <w:t xml:space="preserve"> 2019</w:t>
    </w:r>
  </w:p>
  <w:p w14:paraId="600D1ABF" w14:textId="3A98E195" w:rsidR="00B27318" w:rsidRDefault="00B27318" w:rsidP="00B27318">
    <w:pPr>
      <w:pStyle w:val="Header"/>
      <w:spacing w:before="120"/>
      <w:rPr>
        <w:rFonts w:ascii="Arial" w:hAnsi="Arial" w:cs="Arial"/>
        <w:b/>
        <w:sz w:val="22"/>
        <w:szCs w:val="22"/>
        <w:u w:val="single"/>
      </w:rPr>
    </w:pPr>
    <w:r>
      <w:rPr>
        <w:rFonts w:ascii="Arial" w:hAnsi="Arial" w:cs="Arial"/>
        <w:b/>
        <w:sz w:val="22"/>
        <w:szCs w:val="22"/>
        <w:u w:val="single"/>
      </w:rPr>
      <w:t xml:space="preserve">Premier and Minister for </w:t>
    </w:r>
    <w:r w:rsidR="00904056">
      <w:rPr>
        <w:rFonts w:ascii="Arial" w:hAnsi="Arial" w:cs="Arial"/>
        <w:b/>
        <w:sz w:val="22"/>
        <w:szCs w:val="22"/>
        <w:u w:val="single"/>
      </w:rPr>
      <w:t>Trade</w:t>
    </w:r>
  </w:p>
  <w:p w14:paraId="600D1AC0" w14:textId="355A766A" w:rsidR="00B27318" w:rsidRDefault="00B27318" w:rsidP="00EF2DC5">
    <w:pPr>
      <w:pStyle w:val="Header"/>
      <w:rPr>
        <w:rFonts w:ascii="Arial" w:hAnsi="Arial" w:cs="Arial"/>
        <w:b/>
        <w:sz w:val="22"/>
        <w:szCs w:val="22"/>
        <w:u w:val="single"/>
      </w:rPr>
    </w:pPr>
    <w:r>
      <w:rPr>
        <w:rFonts w:ascii="Arial" w:hAnsi="Arial" w:cs="Arial"/>
        <w:b/>
        <w:sz w:val="22"/>
        <w:szCs w:val="22"/>
        <w:u w:val="single"/>
      </w:rPr>
      <w:t xml:space="preserve">Minister for </w:t>
    </w:r>
    <w:r w:rsidR="00904056">
      <w:rPr>
        <w:rFonts w:ascii="Arial" w:hAnsi="Arial" w:cs="Arial"/>
        <w:b/>
        <w:sz w:val="22"/>
        <w:szCs w:val="22"/>
        <w:u w:val="single"/>
      </w:rPr>
      <w:t xml:space="preserve">Child Safety, </w:t>
    </w:r>
    <w:r>
      <w:rPr>
        <w:rFonts w:ascii="Arial" w:hAnsi="Arial" w:cs="Arial"/>
        <w:b/>
        <w:sz w:val="22"/>
        <w:szCs w:val="22"/>
        <w:u w:val="single"/>
      </w:rPr>
      <w:t>Youth</w:t>
    </w:r>
    <w:r w:rsidR="00904056">
      <w:rPr>
        <w:rFonts w:ascii="Arial" w:hAnsi="Arial" w:cs="Arial"/>
        <w:b/>
        <w:sz w:val="22"/>
        <w:szCs w:val="22"/>
        <w:u w:val="single"/>
      </w:rPr>
      <w:t xml:space="preserve"> and Women</w:t>
    </w:r>
    <w:r>
      <w:rPr>
        <w:rFonts w:ascii="Arial" w:hAnsi="Arial" w:cs="Arial"/>
        <w:b/>
        <w:sz w:val="22"/>
        <w:szCs w:val="22"/>
        <w:u w:val="single"/>
      </w:rPr>
      <w:t>, Minister for the Prevention of Domestic and Family Violence</w:t>
    </w:r>
  </w:p>
  <w:p w14:paraId="600D1AC1" w14:textId="77777777" w:rsidR="00B27318" w:rsidRDefault="00B27318" w:rsidP="00B27318">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12EC6"/>
    <w:multiLevelType w:val="hybridMultilevel"/>
    <w:tmpl w:val="316416F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2FE05BCB"/>
    <w:multiLevelType w:val="hybridMultilevel"/>
    <w:tmpl w:val="11705DC8"/>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30CC3A12"/>
    <w:multiLevelType w:val="hybridMultilevel"/>
    <w:tmpl w:val="71CAD288"/>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66261A44"/>
    <w:multiLevelType w:val="hybridMultilevel"/>
    <w:tmpl w:val="BC127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5" w15:restartNumberingAfterBreak="0">
    <w:nsid w:val="7F176F87"/>
    <w:multiLevelType w:val="hybridMultilevel"/>
    <w:tmpl w:val="48208000"/>
    <w:lvl w:ilvl="0" w:tplc="1CFEBF9E">
      <w:start w:val="1"/>
      <w:numFmt w:val="decimal"/>
      <w:lvlText w:val="%1."/>
      <w:lvlJc w:val="left"/>
      <w:pPr>
        <w:tabs>
          <w:tab w:val="num" w:pos="720"/>
        </w:tabs>
        <w:ind w:left="720" w:hanging="360"/>
      </w:pPr>
      <w:rPr>
        <w:b w:val="0"/>
      </w:rPr>
    </w:lvl>
    <w:lvl w:ilvl="1" w:tplc="8F02EAEE">
      <w:start w:val="1"/>
      <w:numFmt w:val="decimal"/>
      <w:lvlText w:val="%2."/>
      <w:lvlJc w:val="left"/>
      <w:pPr>
        <w:tabs>
          <w:tab w:val="num" w:pos="1443"/>
        </w:tabs>
        <w:ind w:left="1443" w:hanging="363"/>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106"/>
    <w:rsid w:val="00034106"/>
    <w:rsid w:val="00070070"/>
    <w:rsid w:val="000B06E3"/>
    <w:rsid w:val="000B3B4F"/>
    <w:rsid w:val="000C1C88"/>
    <w:rsid w:val="001557B2"/>
    <w:rsid w:val="00163851"/>
    <w:rsid w:val="0018089A"/>
    <w:rsid w:val="00183895"/>
    <w:rsid w:val="00193B5C"/>
    <w:rsid w:val="00241690"/>
    <w:rsid w:val="00343E45"/>
    <w:rsid w:val="00350807"/>
    <w:rsid w:val="00393FF9"/>
    <w:rsid w:val="003B60F9"/>
    <w:rsid w:val="003C418C"/>
    <w:rsid w:val="0049718A"/>
    <w:rsid w:val="004A733D"/>
    <w:rsid w:val="004C1425"/>
    <w:rsid w:val="004D574B"/>
    <w:rsid w:val="005C5CFB"/>
    <w:rsid w:val="005D2C9D"/>
    <w:rsid w:val="005D3D3B"/>
    <w:rsid w:val="005F28C9"/>
    <w:rsid w:val="006D65E2"/>
    <w:rsid w:val="00712AE5"/>
    <w:rsid w:val="00744501"/>
    <w:rsid w:val="0074469B"/>
    <w:rsid w:val="00757AC5"/>
    <w:rsid w:val="00760177"/>
    <w:rsid w:val="007B53CB"/>
    <w:rsid w:val="00904056"/>
    <w:rsid w:val="00936F09"/>
    <w:rsid w:val="00977FEA"/>
    <w:rsid w:val="009D1685"/>
    <w:rsid w:val="00A2660B"/>
    <w:rsid w:val="00A3036C"/>
    <w:rsid w:val="00AD1051"/>
    <w:rsid w:val="00AF5DEA"/>
    <w:rsid w:val="00B27318"/>
    <w:rsid w:val="00B46916"/>
    <w:rsid w:val="00B67A7B"/>
    <w:rsid w:val="00B90A9D"/>
    <w:rsid w:val="00C0500A"/>
    <w:rsid w:val="00C47149"/>
    <w:rsid w:val="00C52C97"/>
    <w:rsid w:val="00CA2DCA"/>
    <w:rsid w:val="00CC1B64"/>
    <w:rsid w:val="00CF5FD8"/>
    <w:rsid w:val="00D00218"/>
    <w:rsid w:val="00D456B6"/>
    <w:rsid w:val="00DD0E8F"/>
    <w:rsid w:val="00DD3AF9"/>
    <w:rsid w:val="00E7083D"/>
    <w:rsid w:val="00EE242A"/>
    <w:rsid w:val="00EF2DC5"/>
    <w:rsid w:val="00EF6489"/>
    <w:rsid w:val="00F10B93"/>
    <w:rsid w:val="00F50005"/>
    <w:rsid w:val="00F84979"/>
    <w:rsid w:val="00FB2944"/>
    <w:rsid w:val="00FB3A7F"/>
    <w:rsid w:val="00FB4E1E"/>
    <w:rsid w:val="00FC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0D1A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106"/>
    <w:pPr>
      <w:spacing w:after="0" w:line="240" w:lineRule="auto"/>
    </w:pPr>
    <w:rPr>
      <w:rFonts w:ascii="Times New Roman" w:eastAsia="Times New Roman" w:hAnsi="Times New Roman" w:cs="Times New Roman"/>
      <w:color w:val="000000"/>
      <w:sz w:val="24"/>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4106"/>
    <w:pPr>
      <w:tabs>
        <w:tab w:val="center" w:pos="4513"/>
        <w:tab w:val="right" w:pos="9026"/>
      </w:tabs>
    </w:pPr>
  </w:style>
  <w:style w:type="character" w:customStyle="1" w:styleId="HeaderChar">
    <w:name w:val="Header Char"/>
    <w:basedOn w:val="DefaultParagraphFont"/>
    <w:link w:val="Header"/>
    <w:uiPriority w:val="99"/>
    <w:rsid w:val="00034106"/>
    <w:rPr>
      <w:rFonts w:ascii="Times New Roman" w:eastAsia="Times New Roman" w:hAnsi="Times New Roman" w:cs="Times New Roman"/>
      <w:color w:val="000000"/>
      <w:sz w:val="24"/>
      <w:szCs w:val="20"/>
      <w:lang w:val="en-AU" w:eastAsia="en-AU"/>
    </w:rPr>
  </w:style>
  <w:style w:type="paragraph" w:styleId="Footer">
    <w:name w:val="footer"/>
    <w:basedOn w:val="Normal"/>
    <w:link w:val="FooterChar"/>
    <w:uiPriority w:val="99"/>
    <w:unhideWhenUsed/>
    <w:rsid w:val="00034106"/>
    <w:pPr>
      <w:tabs>
        <w:tab w:val="center" w:pos="4680"/>
        <w:tab w:val="right" w:pos="9360"/>
      </w:tabs>
    </w:pPr>
  </w:style>
  <w:style w:type="character" w:customStyle="1" w:styleId="FooterChar">
    <w:name w:val="Footer Char"/>
    <w:basedOn w:val="DefaultParagraphFont"/>
    <w:link w:val="Footer"/>
    <w:uiPriority w:val="99"/>
    <w:rsid w:val="00034106"/>
    <w:rPr>
      <w:rFonts w:ascii="Times New Roman" w:eastAsia="Times New Roman" w:hAnsi="Times New Roman" w:cs="Times New Roman"/>
      <w:color w:val="000000"/>
      <w:sz w:val="24"/>
      <w:szCs w:val="20"/>
      <w:lang w:val="en-AU" w:eastAsia="en-AU"/>
    </w:rPr>
  </w:style>
  <w:style w:type="character" w:customStyle="1" w:styleId="ListParagraphChar">
    <w:name w:val="List Paragraph Char"/>
    <w:aliases w:val="Bullet Char,List Paragraph1 Char,List Paragraph11 Char,Recommendation Char,Bullet point Char,Bullets Char,NAST Quote Char,L Char,CV text Char,Table text Char,F5 List Paragraph Char,Dot pt Char,List Paragraph111 Char,列 Char"/>
    <w:basedOn w:val="DefaultParagraphFont"/>
    <w:link w:val="ListParagraph"/>
    <w:uiPriority w:val="34"/>
    <w:locked/>
    <w:rsid w:val="00034106"/>
    <w:rPr>
      <w:rFonts w:ascii="Times New Roman" w:eastAsia="Times New Roman" w:hAnsi="Times New Roman" w:cs="Times New Roman"/>
      <w:color w:val="000000"/>
      <w:sz w:val="24"/>
    </w:rPr>
  </w:style>
  <w:style w:type="paragraph" w:styleId="ListParagraph">
    <w:name w:val="List Paragraph"/>
    <w:aliases w:val="Bullet,List Paragraph1,List Paragraph11,Recommendation,Bullet point,Bullets,NAST Quote,L,CV text,Table text,F5 List Paragraph,Dot pt,List Paragraph111,Medium Grid 1 - Accent 21,Numbered Paragraph,List Paragraph2,NFP GP Bulleted List,列"/>
    <w:basedOn w:val="Normal"/>
    <w:link w:val="ListParagraphChar"/>
    <w:uiPriority w:val="34"/>
    <w:qFormat/>
    <w:rsid w:val="00034106"/>
    <w:pPr>
      <w:ind w:left="720"/>
      <w:contextualSpacing/>
    </w:pPr>
    <w:rPr>
      <w:szCs w:val="22"/>
      <w:lang w:val="en-US" w:eastAsia="en-US"/>
    </w:rPr>
  </w:style>
  <w:style w:type="paragraph" w:styleId="BalloonText">
    <w:name w:val="Balloon Text"/>
    <w:basedOn w:val="Normal"/>
    <w:link w:val="BalloonTextChar"/>
    <w:uiPriority w:val="99"/>
    <w:semiHidden/>
    <w:unhideWhenUsed/>
    <w:rsid w:val="00FC6D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DB0"/>
    <w:rPr>
      <w:rFonts w:ascii="Segoe UI" w:eastAsia="Times New Roman" w:hAnsi="Segoe UI" w:cs="Segoe UI"/>
      <w:color w:val="000000"/>
      <w:sz w:val="18"/>
      <w:szCs w:val="18"/>
      <w:lang w:val="en-AU" w:eastAsia="en-AU"/>
    </w:rPr>
  </w:style>
  <w:style w:type="character" w:styleId="Hyperlink">
    <w:name w:val="Hyperlink"/>
    <w:basedOn w:val="DefaultParagraphFont"/>
    <w:uiPriority w:val="99"/>
    <w:unhideWhenUsed/>
    <w:rsid w:val="005D3D3B"/>
    <w:rPr>
      <w:color w:val="0563C1" w:themeColor="hyperlink"/>
      <w:u w:val="single"/>
    </w:rPr>
  </w:style>
  <w:style w:type="character" w:styleId="UnresolvedMention">
    <w:name w:val="Unresolved Mention"/>
    <w:basedOn w:val="DefaultParagraphFont"/>
    <w:uiPriority w:val="99"/>
    <w:semiHidden/>
    <w:unhideWhenUsed/>
    <w:rsid w:val="005D3D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904816">
      <w:bodyDiv w:val="1"/>
      <w:marLeft w:val="0"/>
      <w:marRight w:val="0"/>
      <w:marTop w:val="0"/>
      <w:marBottom w:val="0"/>
      <w:divBdr>
        <w:top w:val="none" w:sz="0" w:space="0" w:color="auto"/>
        <w:left w:val="none" w:sz="0" w:space="0" w:color="auto"/>
        <w:bottom w:val="none" w:sz="0" w:space="0" w:color="auto"/>
        <w:right w:val="none" w:sz="0" w:space="0" w:color="auto"/>
      </w:divBdr>
    </w:div>
    <w:div w:id="274140627">
      <w:bodyDiv w:val="1"/>
      <w:marLeft w:val="0"/>
      <w:marRight w:val="0"/>
      <w:marTop w:val="0"/>
      <w:marBottom w:val="0"/>
      <w:divBdr>
        <w:top w:val="none" w:sz="0" w:space="0" w:color="auto"/>
        <w:left w:val="none" w:sz="0" w:space="0" w:color="auto"/>
        <w:bottom w:val="none" w:sz="0" w:space="0" w:color="auto"/>
        <w:right w:val="none" w:sz="0" w:space="0" w:color="auto"/>
      </w:divBdr>
    </w:div>
    <w:div w:id="614752476">
      <w:bodyDiv w:val="1"/>
      <w:marLeft w:val="0"/>
      <w:marRight w:val="0"/>
      <w:marTop w:val="0"/>
      <w:marBottom w:val="0"/>
      <w:divBdr>
        <w:top w:val="none" w:sz="0" w:space="0" w:color="auto"/>
        <w:left w:val="none" w:sz="0" w:space="0" w:color="auto"/>
        <w:bottom w:val="none" w:sz="0" w:space="0" w:color="auto"/>
        <w:right w:val="none" w:sz="0" w:space="0" w:color="auto"/>
      </w:divBdr>
    </w:div>
    <w:div w:id="1698237590">
      <w:bodyDiv w:val="1"/>
      <w:marLeft w:val="0"/>
      <w:marRight w:val="0"/>
      <w:marTop w:val="0"/>
      <w:marBottom w:val="0"/>
      <w:divBdr>
        <w:top w:val="none" w:sz="0" w:space="0" w:color="auto"/>
        <w:left w:val="none" w:sz="0" w:space="0" w:color="auto"/>
        <w:bottom w:val="none" w:sz="0" w:space="0" w:color="auto"/>
        <w:right w:val="none" w:sz="0" w:space="0" w:color="auto"/>
      </w:divBdr>
    </w:div>
    <w:div w:id="1965884277">
      <w:bodyDiv w:val="1"/>
      <w:marLeft w:val="0"/>
      <w:marRight w:val="0"/>
      <w:marTop w:val="0"/>
      <w:marBottom w:val="0"/>
      <w:divBdr>
        <w:top w:val="none" w:sz="0" w:space="0" w:color="auto"/>
        <w:left w:val="none" w:sz="0" w:space="0" w:color="auto"/>
        <w:bottom w:val="none" w:sz="0" w:space="0" w:color="auto"/>
        <w:right w:val="none" w:sz="0" w:space="0" w:color="auto"/>
      </w:divBdr>
    </w:div>
    <w:div w:id="198569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Attachments/Matrix.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Attachments/Highlight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ttachments/Survey.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Attachments/Repor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924472-1635-47CF-A3CA-EACE7511F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9E2BA0-3AF6-4B87-B828-7CFAAA69B14D}">
  <ds:schemaRefs>
    <ds:schemaRef ds:uri="http://schemas.microsoft.com/sharepoint/v3/contenttype/forms"/>
  </ds:schemaRefs>
</ds:datastoreItem>
</file>

<file path=customXml/itemProps3.xml><?xml version="1.0" encoding="utf-8"?>
<ds:datastoreItem xmlns:ds="http://schemas.openxmlformats.org/officeDocument/2006/customXml" ds:itemID="{3942E9DC-E26D-49D0-8988-6CFD4AD1F8AE}">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63e311de-a790-43ff-be63-577c26c7507c"/>
    <ds:schemaRef ds:uri="b8ed82f2-f7bd-423c-8698-5e132afe9245"/>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390</Words>
  <Characters>2264</Characters>
  <Application>Microsoft Office Word</Application>
  <DocSecurity>0</DocSecurity>
  <Lines>35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Base>https://www.cabinet.qld.gov.au/documents/2019/Oct/NNNE/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36</cp:revision>
  <dcterms:created xsi:type="dcterms:W3CDTF">2017-03-21T01:40:00Z</dcterms:created>
  <dcterms:modified xsi:type="dcterms:W3CDTF">2020-08-11T02:44:00Z</dcterms:modified>
  <cp:category>Domestic_and_Family_Violence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ies>
</file>